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D4E5B">
      <w:pPr>
        <w:spacing w:after="468" w:afterLines="150" w:line="700" w:lineRule="exact"/>
        <w:jc w:val="center"/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167822143"/>
      <w:bookmarkStart w:id="1" w:name="_Hlk70064846"/>
      <w:bookmarkStart w:id="2" w:name="_Hlk70065165"/>
      <w:bookmarkStart w:id="3" w:name="_Hlk70065099"/>
      <w:r>
        <w:rPr>
          <w:rFonts w:hint="eastAsia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十佳</w:t>
      </w:r>
      <w:bookmarkStart w:id="4" w:name="_Hlk167822262"/>
      <w:r>
        <w:rPr>
          <w:rFonts w:hint="eastAsia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学习卓越之星</w:t>
      </w:r>
      <w:bookmarkEnd w:id="0"/>
      <w:bookmarkEnd w:id="4"/>
      <w:r>
        <w:rPr>
          <w:rFonts w:hint="eastAsia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、十佳</w:t>
      </w:r>
      <w:bookmarkStart w:id="5" w:name="_Hlk167822287"/>
      <w:r>
        <w:rPr>
          <w:rFonts w:hint="eastAsia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学习进步之星</w:t>
      </w:r>
      <w:bookmarkEnd w:id="5"/>
      <w:r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评选活动通知</w:t>
      </w:r>
    </w:p>
    <w:p w14:paraId="564762D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bookmarkEnd w:id="1"/>
    <w:bookmarkEnd w:id="2"/>
    <w:bookmarkEnd w:id="3"/>
    <w:p w14:paraId="64A3CC4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全体本科生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往届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学习之星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（卓越类）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不再参评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往届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学习之星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（进步类）可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十佳学习卓越之星，往届提名奖可以参评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DB16DE4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_Hlk70065138"/>
      <w:bookmarkStart w:id="7" w:name="_Hlk70065071"/>
      <w:bookmarkStart w:id="8" w:name="_Hlk70065209"/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二、评选条件</w:t>
      </w:r>
    </w:p>
    <w:bookmarkEnd w:id="6"/>
    <w:bookmarkEnd w:id="7"/>
    <w:bookmarkEnd w:id="8"/>
    <w:p w14:paraId="5EE9DE76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楷体" w:hAnsi="楷体" w:eastAsia="楷体" w:cs="Times New Roman"/>
          <w:sz w:val="32"/>
          <w:szCs w:val="32"/>
        </w:rPr>
      </w:pPr>
      <w:r>
        <w:rPr>
          <w:rFonts w:ascii="楷体" w:hAnsi="楷体" w:eastAsia="楷体" w:cs="Times New Roman"/>
          <w:sz w:val="32"/>
          <w:szCs w:val="32"/>
        </w:rPr>
        <w:t>（一）基础条件</w:t>
      </w:r>
    </w:p>
    <w:p w14:paraId="3AFFCD14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拥护党的领导，热爱祖国，热爱人民，思想积极进步，具有较强的政治素养；</w:t>
      </w:r>
    </w:p>
    <w:p w14:paraId="6F8E8C1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积极践行社会主义核心价值观，品德优良，举止文明，尊敬师长，热心志愿服务活动，在学习、生活等方面团结帮助他人；</w:t>
      </w:r>
    </w:p>
    <w:p w14:paraId="12D9C4D6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入学以来无违反校规校纪行为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395130E5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4.202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所在寝室在学校卫生联评中未出现C、D评价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E58AF00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楷体" w:hAnsi="楷体" w:eastAsia="楷体" w:cs="Times New Roman"/>
          <w:sz w:val="32"/>
          <w:szCs w:val="32"/>
        </w:rPr>
      </w:pPr>
      <w:r>
        <w:rPr>
          <w:rFonts w:ascii="楷体" w:hAnsi="楷体" w:eastAsia="楷体" w:cs="Times New Roman"/>
          <w:sz w:val="32"/>
          <w:szCs w:val="32"/>
        </w:rPr>
        <w:t>（</w:t>
      </w:r>
      <w:r>
        <w:rPr>
          <w:rFonts w:hint="eastAsia" w:ascii="楷体" w:hAnsi="楷体" w:eastAsia="楷体" w:cs="Times New Roman"/>
          <w:sz w:val="32"/>
          <w:szCs w:val="32"/>
        </w:rPr>
        <w:t>二</w:t>
      </w:r>
      <w:r>
        <w:rPr>
          <w:rFonts w:ascii="楷体" w:hAnsi="楷体" w:eastAsia="楷体" w:cs="Times New Roman"/>
          <w:sz w:val="32"/>
          <w:szCs w:val="32"/>
        </w:rPr>
        <w:t>）</w:t>
      </w:r>
      <w:r>
        <w:rPr>
          <w:rFonts w:hint="eastAsia" w:ascii="楷体" w:hAnsi="楷体" w:eastAsia="楷体" w:cs="Times New Roman"/>
          <w:sz w:val="32"/>
          <w:szCs w:val="32"/>
        </w:rPr>
        <w:t>关键</w:t>
      </w:r>
      <w:r>
        <w:rPr>
          <w:rFonts w:ascii="楷体" w:hAnsi="楷体" w:eastAsia="楷体" w:cs="Times New Roman"/>
          <w:sz w:val="32"/>
          <w:szCs w:val="32"/>
        </w:rPr>
        <w:t>条件</w:t>
      </w:r>
    </w:p>
    <w:p w14:paraId="595FF65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参评学生至少满足以下条件之一：</w:t>
      </w:r>
    </w:p>
    <w:p w14:paraId="0AF5E16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学习卓越之星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4BC3B956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春季学期至2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秋季学期平均学分绩排名专业前10%（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含1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专业人数不足10人可推荐平均学分绩排名第一者参评）；</w:t>
      </w:r>
    </w:p>
    <w:p w14:paraId="32411743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年春季学期至202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年秋季学期有2门以上课程满分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不含选修课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，外校交流学习期间的成绩不计算）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E455052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3.积极参加创新创业，取得突出成绩，并带动班级同学投身创新创造；</w:t>
      </w:r>
    </w:p>
    <w:p w14:paraId="4F7CE8C1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4.具有较高的理论水平，发表过较高水平论文。</w:t>
      </w:r>
    </w:p>
    <w:p w14:paraId="14B4F0F3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学习进步之星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47930CE6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年秋季学期学分绩专业排名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百分比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年春季学期提升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及以上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（提高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百分比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春季学期排名百分比—秋季学期排名百分比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）；</w:t>
      </w:r>
    </w:p>
    <w:p w14:paraId="0D37478C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季学期学分绩专业排名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百分比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秋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季学期提升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及以上，且2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年秋季学期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学分绩专业排名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百分比高于2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年春季学期；</w:t>
      </w:r>
    </w:p>
    <w:p w14:paraId="15388EA0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年春季学期学分绩专业排名后50%但在20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年秋季学期取得单科满分（不含选修课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，外校交流学习期间的成绩不计算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）；</w:t>
      </w:r>
    </w:p>
    <w:p w14:paraId="15C84905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4.曾累计挂科超过10学分但在20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年中获得过奖学金；</w:t>
      </w:r>
    </w:p>
    <w:p w14:paraId="0E238796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年秋季学期重修课程超过3门，全部通过且当学期学分绩达到80分。</w:t>
      </w:r>
    </w:p>
    <w:p w14:paraId="6F4D5D8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9" w:name="_Hlk70065612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奖项设置与奖励措施</w:t>
      </w:r>
    </w:p>
    <w:bookmarkEnd w:id="9"/>
    <w:p w14:paraId="2B4D751E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十佳学习卓越之星：10人；</w:t>
      </w:r>
    </w:p>
    <w:p w14:paraId="4C23AC3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十佳学习进步之星：10人；</w:t>
      </w:r>
    </w:p>
    <w:p w14:paraId="7E0DC6E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十佳学习卓越之星提名1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人；</w:t>
      </w:r>
    </w:p>
    <w:p w14:paraId="5875F500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十佳学习进步之星提名1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人。</w:t>
      </w:r>
    </w:p>
    <w:p w14:paraId="25319224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0" w:name="_Hlk70065888"/>
      <w:bookmarkStart w:id="11" w:name="_Hlk70065905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推荐名额</w:t>
      </w:r>
    </w:p>
    <w:p w14:paraId="50AB5042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仿宋_GB2312" w:hAnsi="仿宋" w:eastAsia="仿宋_GB2312" w:cs="仿宋"/>
          <w:color w:val="333333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sz w:val="32"/>
          <w:szCs w:val="32"/>
        </w:rPr>
        <w:t>各学院按照相关类别确定推荐名额如下：</w:t>
      </w:r>
    </w:p>
    <w:tbl>
      <w:tblPr>
        <w:tblStyle w:val="7"/>
        <w:tblW w:w="8400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0"/>
        <w:gridCol w:w="2980"/>
      </w:tblGrid>
      <w:tr w14:paraId="79556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2F1BB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333333"/>
                <w:sz w:val="32"/>
                <w:szCs w:val="32"/>
              </w:rPr>
              <w:br w:type="page"/>
            </w: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学院</w:t>
            </w: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150C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推荐名额</w:t>
            </w:r>
          </w:p>
        </w:tc>
      </w:tr>
      <w:tr w14:paraId="4B405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3E6C4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未来技术学院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2F03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（至少有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个学习进步之星候选人）</w:t>
            </w:r>
          </w:p>
        </w:tc>
      </w:tr>
      <w:tr w14:paraId="653FE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33726">
            <w:pPr>
              <w:widowControl/>
              <w:jc w:val="center"/>
              <w:rPr>
                <w:rFonts w:ascii="仿宋_GB2312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航天学院、计算学部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9604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（至少有2个学习进步之星候选人）</w:t>
            </w:r>
          </w:p>
        </w:tc>
      </w:tr>
      <w:tr w14:paraId="3A32D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199FE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电信学院、人文学部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DB5F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（至少有1个学习进步之星候选人）</w:t>
            </w:r>
          </w:p>
        </w:tc>
      </w:tr>
      <w:tr w14:paraId="7A715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14807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机电学院、电气学院、建筑学院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C2F6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（至少有1个学习进步之星候选人）</w:t>
            </w:r>
          </w:p>
        </w:tc>
      </w:tr>
      <w:tr w14:paraId="5157F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1000A">
            <w:pPr>
              <w:widowControl/>
              <w:jc w:val="center"/>
              <w:rPr>
                <w:rFonts w:hint="default" w:ascii="仿宋_GB2312" w:hAnsi="Arial" w:eastAsia="仿宋_GB2312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材料学院、能源学院、仪器学院、数学学院、物理学院、经管学院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lang w:val="en-US" w:eastAsia="zh-CN"/>
              </w:rPr>
              <w:t>商学院</w:t>
            </w: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、马克思主义学院、土木学院、环境学院、交通学院、化工学院、生医学部</w:t>
            </w: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7F7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（不做类别要求）</w:t>
            </w:r>
          </w:p>
        </w:tc>
      </w:tr>
      <w:tr w14:paraId="0B7AE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9F999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基础学部</w:t>
            </w: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FB04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（不做类别要求）</w:t>
            </w:r>
          </w:p>
        </w:tc>
      </w:tr>
    </w:tbl>
    <w:p w14:paraId="0F403DA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仿宋_GB2312" w:hAnsi="仿宋" w:eastAsia="仿宋_GB2312" w:cs="仿宋"/>
          <w:color w:val="333333"/>
          <w:sz w:val="32"/>
          <w:szCs w:val="32"/>
        </w:rPr>
      </w:pPr>
    </w:p>
    <w:p w14:paraId="053B3CA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材料报送相关要求</w:t>
      </w:r>
    </w:p>
    <w:p w14:paraId="6C967E27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1.纸质版材料：</w:t>
      </w:r>
    </w:p>
    <w:p w14:paraId="090C7BE9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4-2：哈尔滨工业大学十佳学习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卓越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之星申报材料》，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需在封面学院处盖学院公章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257EA103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4-3：哈尔滨工业大学十佳学习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卓越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之星奖项汇总表》，需学工负责人签字并加盖学院公章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485FE71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4-4：哈尔滨工业大学十佳学习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之星申报材料》，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需在封面学院处盖学院公章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1A5B591C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4-5：哈尔滨工业大学十佳学习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之星奖项汇总表》，需学工负责人签字并加盖学院公章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15FB2CB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2.电子版材料：</w:t>
      </w:r>
    </w:p>
    <w:p w14:paraId="25C542E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1）《附件4-2：哈尔滨工业大学十佳学习之星申报材料》；</w:t>
      </w:r>
    </w:p>
    <w:p w14:paraId="609B0927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4-3：哈尔滨工业大学十佳学习之星奖项汇总表》</w:t>
      </w:r>
      <w:bookmarkEnd w:id="10"/>
      <w:bookmarkEnd w:id="11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98B1EB7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4-4：哈尔滨工业大学十佳学习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之星申报材料》；</w:t>
      </w:r>
    </w:p>
    <w:p w14:paraId="28768A7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4-5：哈尔滨工业大学十佳学习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之星奖项汇总表》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6252FB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791703"/>
    <w:rsid w:val="00052283"/>
    <w:rsid w:val="000654AC"/>
    <w:rsid w:val="000834C2"/>
    <w:rsid w:val="000E4F5A"/>
    <w:rsid w:val="000F0AD6"/>
    <w:rsid w:val="00104C67"/>
    <w:rsid w:val="00112ADF"/>
    <w:rsid w:val="001C703A"/>
    <w:rsid w:val="001D2F03"/>
    <w:rsid w:val="001E0720"/>
    <w:rsid w:val="00213B8E"/>
    <w:rsid w:val="002D16C5"/>
    <w:rsid w:val="002E6243"/>
    <w:rsid w:val="00311FF0"/>
    <w:rsid w:val="00352E87"/>
    <w:rsid w:val="003B3852"/>
    <w:rsid w:val="003D00DE"/>
    <w:rsid w:val="00436B4C"/>
    <w:rsid w:val="00437C5F"/>
    <w:rsid w:val="00454BCA"/>
    <w:rsid w:val="004D5072"/>
    <w:rsid w:val="0055236A"/>
    <w:rsid w:val="00585BD8"/>
    <w:rsid w:val="00647866"/>
    <w:rsid w:val="00661B91"/>
    <w:rsid w:val="00672728"/>
    <w:rsid w:val="00690C1B"/>
    <w:rsid w:val="00695ADC"/>
    <w:rsid w:val="006A3E6A"/>
    <w:rsid w:val="006A7207"/>
    <w:rsid w:val="006B6C6A"/>
    <w:rsid w:val="006C6EEB"/>
    <w:rsid w:val="006E7628"/>
    <w:rsid w:val="00791703"/>
    <w:rsid w:val="00825523"/>
    <w:rsid w:val="008509E2"/>
    <w:rsid w:val="008D5B66"/>
    <w:rsid w:val="008F0E2F"/>
    <w:rsid w:val="00972683"/>
    <w:rsid w:val="009B0658"/>
    <w:rsid w:val="00A475C4"/>
    <w:rsid w:val="00A71A60"/>
    <w:rsid w:val="00AA2EA0"/>
    <w:rsid w:val="00AE7015"/>
    <w:rsid w:val="00B71A6D"/>
    <w:rsid w:val="00BA0E63"/>
    <w:rsid w:val="00CB0001"/>
    <w:rsid w:val="00CC6D05"/>
    <w:rsid w:val="00CD2BBE"/>
    <w:rsid w:val="00CF6394"/>
    <w:rsid w:val="00D12357"/>
    <w:rsid w:val="00D831BE"/>
    <w:rsid w:val="00DB38CA"/>
    <w:rsid w:val="00E90996"/>
    <w:rsid w:val="00EA5075"/>
    <w:rsid w:val="00EC2522"/>
    <w:rsid w:val="00EE24FB"/>
    <w:rsid w:val="00F005EF"/>
    <w:rsid w:val="00F05F9C"/>
    <w:rsid w:val="00F07236"/>
    <w:rsid w:val="00F3106A"/>
    <w:rsid w:val="00F40A52"/>
    <w:rsid w:val="00FC16B0"/>
    <w:rsid w:val="17F024CA"/>
    <w:rsid w:val="1CA725AE"/>
    <w:rsid w:val="2BDD2F7E"/>
    <w:rsid w:val="335756BA"/>
    <w:rsid w:val="37E00114"/>
    <w:rsid w:val="5525407E"/>
    <w:rsid w:val="637551CC"/>
    <w:rsid w:val="67687118"/>
    <w:rsid w:val="6A242EE4"/>
    <w:rsid w:val="767F2829"/>
    <w:rsid w:val="792C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  <w:rPr>
      <w:rFonts w:ascii="Times New Roman" w:hAnsi="Times New Roman" w:eastAsia="宋体"/>
      <w:sz w:val="28"/>
    </w:r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6">
    <w:name w:val="批注主题 字符"/>
    <w:basedOn w:val="14"/>
    <w:link w:val="6"/>
    <w:semiHidden/>
    <w:qFormat/>
    <w:uiPriority w:val="99"/>
    <w:rPr>
      <w:rFonts w:ascii="Times New Roman" w:hAnsi="Times New Roman" w:eastAsia="宋体"/>
      <w:b/>
      <w:bCs/>
      <w:sz w:val="28"/>
      <w:szCs w:val="24"/>
    </w:rPr>
  </w:style>
  <w:style w:type="paragraph" w:customStyle="1" w:styleId="17">
    <w:name w:val="批注"/>
    <w:basedOn w:val="2"/>
    <w:link w:val="18"/>
    <w:qFormat/>
    <w:uiPriority w:val="0"/>
  </w:style>
  <w:style w:type="character" w:customStyle="1" w:styleId="18">
    <w:name w:val="批注 字符"/>
    <w:basedOn w:val="14"/>
    <w:link w:val="17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19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1238</Words>
  <Characters>1342</Characters>
  <Lines>10</Lines>
  <Paragraphs>2</Paragraphs>
  <TotalTime>25</TotalTime>
  <ScaleCrop>false</ScaleCrop>
  <LinksUpToDate>false</LinksUpToDate>
  <CharactersWithSpaces>1342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2021-04-23T02:06:00Z</dcterms:created>
  <dc:creator>Yang Yuming</dc:creator>
  <cp:lastModifiedBy>86188</cp:lastModifiedBy>
  <dcterms:modified xsi:type="dcterms:W3CDTF">2025-05-14T07:04:05Z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C311597D97B84B86B3C7B366D200302E_12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